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E636D"/>
    <w:p w14:paraId="49C83F05">
      <w:pPr>
        <w:spacing w:line="540" w:lineRule="exact"/>
        <w:jc w:val="center"/>
        <w:rPr>
          <w:rFonts w:eastAsia="华文中宋"/>
          <w:b/>
          <w:kern w:val="0"/>
          <w:sz w:val="52"/>
          <w:szCs w:val="52"/>
        </w:rPr>
      </w:pPr>
    </w:p>
    <w:p w14:paraId="78D67894">
      <w:pPr>
        <w:spacing w:line="540" w:lineRule="exact"/>
        <w:rPr>
          <w:rFonts w:eastAsia="华文中宋"/>
          <w:b/>
          <w:kern w:val="0"/>
          <w:sz w:val="52"/>
          <w:szCs w:val="52"/>
        </w:rPr>
      </w:pPr>
    </w:p>
    <w:p w14:paraId="766BEC00">
      <w:pPr>
        <w:spacing w:line="540" w:lineRule="exact"/>
        <w:jc w:val="center"/>
        <w:rPr>
          <w:rFonts w:eastAsia="华文中宋"/>
          <w:b/>
          <w:kern w:val="0"/>
          <w:sz w:val="52"/>
          <w:szCs w:val="52"/>
        </w:rPr>
      </w:pPr>
    </w:p>
    <w:p w14:paraId="18E6A7B4">
      <w:pPr>
        <w:spacing w:line="540" w:lineRule="exact"/>
        <w:jc w:val="center"/>
        <w:rPr>
          <w:rFonts w:hint="eastAsia" w:ascii="方正小标宋_GBK" w:hAnsi="方正小标宋_GBK" w:eastAsia="方正小标宋_GBK" w:cs="方正小标宋_GBK"/>
          <w:kern w:val="0"/>
          <w:sz w:val="48"/>
          <w:szCs w:val="48"/>
        </w:rPr>
      </w:pPr>
      <w:r>
        <w:rPr>
          <w:rFonts w:hint="default" w:ascii="方正小标宋_GBK" w:hAnsi="方正小标宋_GBK" w:eastAsia="方正小标宋_GBK" w:cs="方正小标宋_GBK"/>
          <w:kern w:val="0"/>
          <w:sz w:val="48"/>
          <w:szCs w:val="48"/>
        </w:rPr>
        <w:t>2024年中亚区域经济合作学院临时院址租金</w:t>
      </w:r>
      <w:r>
        <w:rPr>
          <w:rFonts w:hint="eastAsia" w:ascii="方正小标宋_GBK" w:hAnsi="方正小标宋_GBK" w:eastAsia="方正小标宋_GBK" w:cs="方正小标宋_GBK"/>
          <w:kern w:val="0"/>
          <w:sz w:val="48"/>
          <w:szCs w:val="48"/>
        </w:rPr>
        <w:t>资金项目支出绩效评价报告</w:t>
      </w:r>
    </w:p>
    <w:p w14:paraId="7CFEBAFA">
      <w:pPr>
        <w:spacing w:line="540" w:lineRule="exact"/>
        <w:jc w:val="center"/>
        <w:rPr>
          <w:rFonts w:eastAsia="华文中宋"/>
          <w:b/>
          <w:kern w:val="0"/>
          <w:sz w:val="52"/>
          <w:szCs w:val="52"/>
        </w:rPr>
      </w:pPr>
    </w:p>
    <w:p w14:paraId="60754832">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3BFB4023">
      <w:pPr>
        <w:spacing w:line="540" w:lineRule="exact"/>
        <w:jc w:val="center"/>
        <w:rPr>
          <w:rFonts w:eastAsia="仿宋_GB2312"/>
          <w:kern w:val="0"/>
          <w:sz w:val="30"/>
          <w:szCs w:val="30"/>
        </w:rPr>
      </w:pPr>
    </w:p>
    <w:p w14:paraId="025AB090">
      <w:pPr>
        <w:spacing w:line="540" w:lineRule="exact"/>
        <w:jc w:val="center"/>
        <w:rPr>
          <w:rFonts w:eastAsia="仿宋_GB2312"/>
          <w:kern w:val="0"/>
          <w:sz w:val="30"/>
          <w:szCs w:val="30"/>
        </w:rPr>
      </w:pPr>
    </w:p>
    <w:p w14:paraId="20A11EC0">
      <w:pPr>
        <w:spacing w:line="540" w:lineRule="exact"/>
        <w:jc w:val="center"/>
        <w:rPr>
          <w:rFonts w:eastAsia="仿宋_GB2312"/>
          <w:kern w:val="0"/>
          <w:sz w:val="30"/>
          <w:szCs w:val="30"/>
        </w:rPr>
      </w:pPr>
    </w:p>
    <w:p w14:paraId="72E76D11">
      <w:pPr>
        <w:pStyle w:val="9"/>
      </w:pPr>
    </w:p>
    <w:p w14:paraId="3BF878D4">
      <w:pPr>
        <w:spacing w:line="540" w:lineRule="exact"/>
        <w:jc w:val="center"/>
        <w:rPr>
          <w:rFonts w:eastAsia="仿宋_GB2312"/>
          <w:kern w:val="0"/>
          <w:sz w:val="30"/>
          <w:szCs w:val="30"/>
        </w:rPr>
      </w:pPr>
    </w:p>
    <w:p w14:paraId="59006BED">
      <w:pPr>
        <w:spacing w:line="540" w:lineRule="exact"/>
        <w:rPr>
          <w:rFonts w:eastAsia="仿宋_GB2312"/>
          <w:kern w:val="0"/>
          <w:sz w:val="30"/>
          <w:szCs w:val="30"/>
        </w:rPr>
      </w:pPr>
    </w:p>
    <w:p w14:paraId="5FAFED14">
      <w:pPr>
        <w:pStyle w:val="9"/>
        <w:rPr>
          <w:rFonts w:eastAsia="仿宋_GB2312"/>
          <w:kern w:val="0"/>
          <w:sz w:val="30"/>
          <w:szCs w:val="30"/>
        </w:rPr>
      </w:pPr>
    </w:p>
    <w:p w14:paraId="3183FD75"/>
    <w:p w14:paraId="4C5C0819"/>
    <w:p w14:paraId="5A0A9057">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rPr>
        <w:t>2024年中亚区域经济合作学院临时院址租金资金项目</w:t>
      </w:r>
    </w:p>
    <w:p w14:paraId="044AE0BB">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乌鲁木齐市水磨沟区财政局</w:t>
      </w:r>
    </w:p>
    <w:p w14:paraId="51FD36E7">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r>
        <w:rPr>
          <w:rFonts w:eastAsia="仿宋_GB2312"/>
          <w:kern w:val="0"/>
          <w:sz w:val="36"/>
          <w:szCs w:val="36"/>
        </w:rPr>
        <w:t>主管部门（公章）：</w:t>
      </w:r>
      <w:r>
        <w:rPr>
          <w:rFonts w:hint="eastAsia" w:eastAsia="仿宋_GB2312"/>
          <w:kern w:val="0"/>
          <w:sz w:val="36"/>
          <w:szCs w:val="36"/>
          <w:lang w:val="en-US" w:eastAsia="zh-CN"/>
        </w:rPr>
        <w:t>乌鲁木齐市水磨沟区财政局</w:t>
      </w:r>
    </w:p>
    <w:p w14:paraId="4A6BC810">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田甜</w:t>
      </w:r>
      <w:bookmarkStart w:id="7" w:name="_GoBack"/>
      <w:bookmarkEnd w:id="7"/>
    </w:p>
    <w:p w14:paraId="263D5A36">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28</w:t>
      </w:r>
      <w:r>
        <w:rPr>
          <w:rFonts w:eastAsia="仿宋_GB2312"/>
          <w:kern w:val="0"/>
          <w:sz w:val="36"/>
          <w:szCs w:val="36"/>
        </w:rPr>
        <w:t>日</w:t>
      </w:r>
    </w:p>
    <w:p w14:paraId="398E557F">
      <w:pPr>
        <w:spacing w:line="540" w:lineRule="exact"/>
        <w:jc w:val="center"/>
        <w:rPr>
          <w:rFonts w:eastAsia="仿宋_GB2312"/>
          <w:kern w:val="0"/>
          <w:sz w:val="30"/>
          <w:szCs w:val="30"/>
        </w:rPr>
      </w:pPr>
    </w:p>
    <w:p w14:paraId="229DE8E4">
      <w:pPr>
        <w:spacing w:line="540" w:lineRule="exact"/>
        <w:rPr>
          <w:rStyle w:val="15"/>
          <w:rFonts w:eastAsia="黑体"/>
          <w:b w:val="0"/>
          <w:spacing w:val="-4"/>
          <w:sz w:val="32"/>
          <w:szCs w:val="32"/>
        </w:rPr>
        <w:sectPr>
          <w:pgSz w:w="11906" w:h="16838"/>
          <w:pgMar w:top="1440" w:right="1558" w:bottom="1440" w:left="1800" w:header="851" w:footer="992" w:gutter="0"/>
          <w:cols w:space="425" w:num="1"/>
          <w:docGrid w:type="lines" w:linePitch="312" w:charSpace="0"/>
        </w:sectPr>
      </w:pPr>
    </w:p>
    <w:p w14:paraId="05680379">
      <w:pPr>
        <w:pageBreakBefore w:val="0"/>
        <w:kinsoku/>
        <w:wordWrap/>
        <w:overflowPunct/>
        <w:topLinePunct w:val="0"/>
        <w:autoSpaceDE/>
        <w:autoSpaceDN/>
        <w:bidi w:val="0"/>
        <w:adjustRightInd/>
        <w:snapToGrid/>
        <w:spacing w:line="560" w:lineRule="exact"/>
        <w:ind w:firstLine="640" w:firstLineChars="200"/>
        <w:textAlignment w:val="auto"/>
        <w:rPr>
          <w:rFonts w:eastAsia="黑体"/>
          <w:bCs/>
          <w:sz w:val="32"/>
          <w:szCs w:val="32"/>
        </w:rPr>
      </w:pPr>
      <w:r>
        <w:rPr>
          <w:rFonts w:eastAsia="黑体"/>
          <w:bCs/>
          <w:sz w:val="32"/>
          <w:szCs w:val="32"/>
        </w:rPr>
        <w:t>一、基本情况</w:t>
      </w:r>
    </w:p>
    <w:p w14:paraId="1C520E52">
      <w:pPr>
        <w:pageBreakBefore w:val="0"/>
        <w:kinsoku/>
        <w:wordWrap/>
        <w:overflowPunct/>
        <w:topLinePunct w:val="0"/>
        <w:autoSpaceDE/>
        <w:autoSpaceDN/>
        <w:bidi w:val="0"/>
        <w:adjustRightInd/>
        <w:snapToGrid/>
        <w:spacing w:line="560" w:lineRule="exact"/>
        <w:ind w:firstLine="643" w:firstLineChars="200"/>
        <w:textAlignment w:val="auto"/>
        <w:rPr>
          <w:rFonts w:eastAsia="楷体_GB2312"/>
          <w:b/>
          <w:bCs/>
          <w:sz w:val="32"/>
          <w:szCs w:val="32"/>
        </w:rPr>
      </w:pPr>
      <w:r>
        <w:rPr>
          <w:rFonts w:eastAsia="楷体_GB2312"/>
          <w:b/>
          <w:bCs/>
          <w:sz w:val="32"/>
          <w:szCs w:val="32"/>
        </w:rPr>
        <w:t>（一）项目概况</w:t>
      </w:r>
    </w:p>
    <w:p w14:paraId="72192B57">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14:textFill>
            <w14:solidFill>
              <w14:schemeClr w14:val="tx1"/>
            </w14:solidFill>
          </w14:textFill>
        </w:rPr>
        <w:t>项目背景</w:t>
      </w:r>
    </w:p>
    <w:p w14:paraId="3561C3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乌财金[2023]39号关于提前下达2024年中亚区域经济合作学院临时院址租金的通知，现由我局对负责中亚学院相关工作，此笔资金用于临时院址房屋租赁。</w:t>
      </w:r>
    </w:p>
    <w:p w14:paraId="34AA2435">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14:textFill>
            <w14:solidFill>
              <w14:schemeClr w14:val="tx1"/>
            </w14:solidFill>
          </w14:textFill>
        </w:rPr>
        <w:t>项目主要内容</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及实施情况</w:t>
      </w:r>
    </w:p>
    <w:p w14:paraId="41C44B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项目主要内容：预算总额395.68万元为中亚学院临时办公院址全年租赁费，院址具体位置落地水磨沟区会展片区中心区域万科·大都会B栋20、21楼，总面积3318.16㎡。</w:t>
      </w:r>
    </w:p>
    <w:p w14:paraId="1904EB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项目实施情况：项目目前已经完成实际设立的目标，项目在实施过程中严格按照目标设立的进行开展工作，保证项目安全顺利进行。</w:t>
      </w:r>
    </w:p>
    <w:p w14:paraId="36BF8E3D">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14:textFill>
            <w14:solidFill>
              <w14:schemeClr w14:val="tx1"/>
            </w14:solidFill>
          </w14:textFill>
        </w:rPr>
        <w:t>资金投入和使用情况</w:t>
      </w:r>
    </w:p>
    <w:p w14:paraId="3FB07FB3">
      <w:pPr>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（1）资金投入情况</w:t>
      </w:r>
    </w:p>
    <w:p w14:paraId="7A7FD8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该项目年初预算数</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395.68</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万元，全年预算数</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395.68</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万元，实际总投入</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395.68</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万元，该项目资金已全部落实到位，资金来源为</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上级补助资金</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w:t>
      </w:r>
    </w:p>
    <w:p w14:paraId="438C7A32">
      <w:pPr>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（2）资金使用情况</w:t>
      </w:r>
    </w:p>
    <w:p w14:paraId="3BAB7E9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该项目年初预算数</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395.68</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万元，全年预算数</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395.68</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万元,全年执行数</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395.68</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万元，预算执行率为</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100</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w:t>
      </w:r>
      <w:r>
        <w:rPr>
          <w:rFonts w:hint="eastAsia" w:eastAsia="方正仿宋_GBK" w:cs="Times New Roman"/>
          <w:i w:val="0"/>
          <w:iCs w:val="0"/>
          <w:caps w:val="0"/>
          <w:color w:val="000000" w:themeColor="text1"/>
          <w:spacing w:val="0"/>
          <w:sz w:val="32"/>
          <w:szCs w:val="32"/>
          <w:shd w:val="clear" w:color="auto" w:fill="FFFFFF"/>
          <w:lang w:eastAsia="zh-CN"/>
          <w14:textFill>
            <w14:solidFill>
              <w14:schemeClr w14:val="tx1"/>
            </w14:solidFill>
          </w14:textFill>
        </w:rPr>
        <w:t>，</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主要用于：</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做好中亚学院办公院址的租赁等工作，保障学院正常工作开展。</w:t>
      </w:r>
    </w:p>
    <w:p w14:paraId="0452C9A4">
      <w:pPr>
        <w:pageBreakBefore w:val="0"/>
        <w:kinsoku/>
        <w:wordWrap/>
        <w:overflowPunct/>
        <w:topLinePunct w:val="0"/>
        <w:autoSpaceDE/>
        <w:autoSpaceDN/>
        <w:bidi w:val="0"/>
        <w:adjustRightInd/>
        <w:snapToGrid/>
        <w:spacing w:line="560" w:lineRule="exact"/>
        <w:ind w:firstLine="643" w:firstLineChars="200"/>
        <w:textAlignment w:val="auto"/>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（二）项目绩效目标</w:t>
      </w:r>
    </w:p>
    <w:p w14:paraId="37473322">
      <w:pPr>
        <w:pageBreakBefore w:val="0"/>
        <w:kinsoku/>
        <w:wordWrap/>
        <w:overflowPunct/>
        <w:topLinePunct w:val="0"/>
        <w:autoSpaceDE/>
        <w:autoSpaceDN/>
        <w:bidi w:val="0"/>
        <w:adjustRightInd/>
        <w:snapToGrid/>
        <w:spacing w:line="560" w:lineRule="exact"/>
        <w:ind w:firstLine="643" w:firstLineChars="200"/>
        <w:textAlignment w:val="auto"/>
        <w:rPr>
          <w:rFonts w:eastAsia="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val="en-US" w:eastAsia="zh-CN" w:bidi="ar-SA"/>
          <w14:textFill>
            <w14:solidFill>
              <w14:schemeClr w14:val="tx1"/>
            </w14:solidFill>
          </w14:textFill>
        </w:rPr>
        <w:t>1.总体目标</w:t>
      </w:r>
    </w:p>
    <w:p w14:paraId="6532F6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做好中亚学院临时院址租赁及后期服务等各项工作，为中亚学院充分发挥政府间国际智库功能，推动区域经济合作提供物质保障。</w:t>
      </w:r>
    </w:p>
    <w:p w14:paraId="544B72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val="en-US" w:eastAsia="zh-CN" w:bidi="ar-SA"/>
          <w14:textFill>
            <w14:solidFill>
              <w14:schemeClr w14:val="tx1"/>
            </w14:solidFill>
          </w14:textFill>
        </w:rPr>
        <w:t>2.阶段性目标：</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中亚学院临时办公院址落地水磨沟区会展片区中心区域万科大都会B栋20、21楼，总面积3318.16㎡，中亚学院办公院址租赁费395.68万元，</w:t>
      </w: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2</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024年3月</w:t>
      </w:r>
      <w:r>
        <w:rPr>
          <w:rFonts w:hint="eastAsia" w:ascii="Times New Roman" w:hAnsi="Times New Roman" w:eastAsia="方正仿宋_GBK" w:cs="Times New Roman"/>
          <w:i w:val="0"/>
          <w:iCs w:val="0"/>
          <w:caps w:val="0"/>
          <w:color w:val="000000" w:themeColor="text1"/>
          <w:spacing w:val="0"/>
          <w:sz w:val="32"/>
          <w:szCs w:val="32"/>
          <w:shd w:val="clear" w:color="auto" w:fill="FFFFFF"/>
          <w14:textFill>
            <w14:solidFill>
              <w14:schemeClr w14:val="tx1"/>
            </w14:solidFill>
          </w14:textFill>
        </w:rPr>
        <w:t>已全部支付完毕，保障学院正常工作开展</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w:t>
      </w:r>
    </w:p>
    <w:p w14:paraId="1D22CB42">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二、绩效评价工作开展情况</w:t>
      </w:r>
    </w:p>
    <w:p w14:paraId="738BA642">
      <w:pPr>
        <w:pageBreakBefore w:val="0"/>
        <w:kinsoku/>
        <w:wordWrap/>
        <w:overflowPunct/>
        <w:topLinePunct w:val="0"/>
        <w:autoSpaceDE/>
        <w:autoSpaceDN/>
        <w:bidi w:val="0"/>
        <w:adjustRightInd/>
        <w:snapToGrid/>
        <w:spacing w:line="560" w:lineRule="exact"/>
        <w:ind w:firstLine="643" w:firstLineChars="200"/>
        <w:textAlignment w:val="auto"/>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（一）绩效评价目的、对象和范围</w:t>
      </w:r>
    </w:p>
    <w:p w14:paraId="3064ABFB">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1</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绩效评价的目的</w:t>
      </w:r>
    </w:p>
    <w:p w14:paraId="6EEEFE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财政支出绩效评价运用科学、规范的绩效评价方法，制定统一的评价标准，使财政资金得到事前、事中和事后多方面的控制</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，提高资金使用效益</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。财政支出绩效评价贯穿于财政支出安排和实施的全过程，是对财政支出效益、管理水平、投入风险等方面的综合评价</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，优化资源配置，强化绩效管理意识</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；发挥财政调控功能、提高财政资金安排科学性、促进财政支持社会经济目标实现的重要保证。</w:t>
      </w:r>
    </w:p>
    <w:p w14:paraId="56E1E8D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项目在实施前向项目负责人提供财政支出绩效方面的资金管理信息，促进项目支出严格按照资金管理规定进行。</w:t>
      </w:r>
    </w:p>
    <w:p w14:paraId="6851D72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（2）项目绩效管理财政支出运行提供及时、有效的信息。</w:t>
      </w:r>
    </w:p>
    <w:p w14:paraId="5207A9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eastAsia="方正仿宋_GBK" w:cs="方正仿宋_GBK"/>
          <w:color w:val="000000" w:themeColor="text1"/>
          <w:sz w:val="32"/>
          <w:szCs w:val="32"/>
          <w:highlight w:val="none"/>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eastAsia="仿宋_GB2312"/>
          <w:color w:val="000000" w:themeColor="text1"/>
          <w:sz w:val="32"/>
          <w:szCs w:val="32"/>
          <w:highlight w:val="none"/>
          <w14:textFill>
            <w14:solidFill>
              <w14:schemeClr w14:val="tx1"/>
            </w14:solidFill>
          </w14:textFill>
        </w:rPr>
        <w:t>。</w:t>
      </w:r>
    </w:p>
    <w:p w14:paraId="618A6E62">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2</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绩效评价的对象</w:t>
      </w:r>
    </w:p>
    <w:p w14:paraId="4C37B8D0">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2024年中亚区域经济合作学院临时院址租金</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项目。</w:t>
      </w:r>
    </w:p>
    <w:p w14:paraId="6D80F52E">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绩效评价的范围</w:t>
      </w:r>
    </w:p>
    <w:p w14:paraId="4B949E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w:t>
      </w:r>
    </w:p>
    <w:p w14:paraId="20917E03">
      <w:pPr>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2024年中亚区域经济合作学院临时院址租金项目进行评价，评价核心为专项资金的支出完成情况和效果。</w:t>
      </w:r>
    </w:p>
    <w:p w14:paraId="635347CE">
      <w:pPr>
        <w:pageBreakBefore w:val="0"/>
        <w:kinsoku/>
        <w:wordWrap/>
        <w:overflowPunct/>
        <w:topLinePunct w:val="0"/>
        <w:autoSpaceDE/>
        <w:autoSpaceDN/>
        <w:bidi w:val="0"/>
        <w:adjustRightInd/>
        <w:snapToGrid/>
        <w:spacing w:line="560" w:lineRule="exact"/>
        <w:ind w:firstLine="643" w:firstLineChars="200"/>
        <w:textAlignment w:val="auto"/>
        <w:rPr>
          <w:color w:val="000000" w:themeColor="text1"/>
          <w14:textFill>
            <w14:solidFill>
              <w14:schemeClr w14:val="tx1"/>
            </w14:solidFill>
          </w14:textFill>
        </w:rPr>
      </w:pPr>
      <w:r>
        <w:rPr>
          <w:rFonts w:eastAsia="楷体_GB2312"/>
          <w:b/>
          <w:bCs/>
          <w:color w:val="000000" w:themeColor="text1"/>
          <w:sz w:val="32"/>
          <w:szCs w:val="32"/>
          <w14:textFill>
            <w14:solidFill>
              <w14:schemeClr w14:val="tx1"/>
            </w14:solidFill>
          </w14:textFill>
        </w:rPr>
        <w:t>（二）绩效评价原则、评价指标体系（详情见</w:t>
      </w:r>
      <w:r>
        <w:rPr>
          <w:rFonts w:hint="eastAsia" w:eastAsia="楷体_GB2312"/>
          <w:b/>
          <w:bCs/>
          <w:color w:val="000000" w:themeColor="text1"/>
          <w:sz w:val="32"/>
          <w:szCs w:val="32"/>
          <w:lang w:val="en-US" w:eastAsia="zh-CN"/>
          <w14:textFill>
            <w14:solidFill>
              <w14:schemeClr w14:val="tx1"/>
            </w14:solidFill>
          </w14:textFill>
        </w:rPr>
        <w:t>附件2</w:t>
      </w:r>
      <w:r>
        <w:rPr>
          <w:rFonts w:eastAsia="楷体_GB2312"/>
          <w:b/>
          <w:bCs/>
          <w:color w:val="000000" w:themeColor="text1"/>
          <w:sz w:val="32"/>
          <w:szCs w:val="32"/>
          <w14:textFill>
            <w14:solidFill>
              <w14:schemeClr w14:val="tx1"/>
            </w14:solidFill>
          </w14:textFill>
        </w:rPr>
        <w:t>）、评价方法、评价标准</w:t>
      </w:r>
    </w:p>
    <w:p w14:paraId="2946444B">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14:textFill>
            <w14:solidFill>
              <w14:schemeClr w14:val="tx1"/>
            </w14:solidFill>
          </w14:textFill>
        </w:rPr>
        <w:t>绩效评价原则</w:t>
      </w:r>
    </w:p>
    <w:p w14:paraId="7973A7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本次项目绩效评价遵循以下基本原则：</w:t>
      </w:r>
    </w:p>
    <w:p w14:paraId="3CC824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（1）科学公正。绩效评价应当运用科学合理的方法，按照规范的程序，对项目绩效进行客观、公正的反映。</w:t>
      </w:r>
    </w:p>
    <w:p w14:paraId="5D9A2D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5399001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（3）激励约束。绩效评价结果应与预算安排、政策调整、改进管理实质性挂钩，体现奖优罚劣和激励相容导向，有效要安排、低效要压减、无效要问责。</w:t>
      </w:r>
    </w:p>
    <w:p w14:paraId="750471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（4）公开透明。绩效评价结果应依法依规公开，并自觉接受社会监督。</w:t>
      </w:r>
    </w:p>
    <w:p w14:paraId="7A169404">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14:textFill>
            <w14:solidFill>
              <w14:schemeClr w14:val="tx1"/>
            </w14:solidFill>
          </w14:textFill>
        </w:rPr>
        <w:t>评价指标体系</w:t>
      </w:r>
    </w:p>
    <w:p w14:paraId="5E8D4E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绩效评价框架是开展绩效评价的核心。绩效评价框架包括评价准则、关键评价问题、评价指标、数据来源、数据收集方法等。指标体系建立过程如下：</w:t>
      </w:r>
    </w:p>
    <w:p w14:paraId="107A75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（1）确定评价指标</w:t>
      </w:r>
    </w:p>
    <w:p w14:paraId="643D60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1D956AEB">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（2）确定权重</w:t>
      </w:r>
    </w:p>
    <w:p w14:paraId="65F09E9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79F7D44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（3）确定指标标准值</w:t>
      </w:r>
    </w:p>
    <w:p w14:paraId="321EFC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2220B7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93701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具体评价指标体系详情见附件2。</w:t>
      </w:r>
    </w:p>
    <w:p w14:paraId="37FDD302">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14:textFill>
            <w14:solidFill>
              <w14:schemeClr w14:val="tx1"/>
            </w14:solidFill>
          </w14:textFill>
        </w:rPr>
        <w:t>绩效评价方法</w:t>
      </w:r>
    </w:p>
    <w:p w14:paraId="2ABF8B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绩效评价从项目决策、项目过程、项目产出、项目效益四个维度进行评价。评价对象为项目目标实施情况，评价核心为资金的支出完成情况和项目的产出效益。</w:t>
      </w:r>
    </w:p>
    <w:p w14:paraId="5FAAE04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eastAsia="仿宋_GB2312"/>
          <w:color w:val="000000" w:themeColor="text1"/>
          <w:spacing w:val="17"/>
          <w:sz w:val="32"/>
          <w:szCs w:val="32"/>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1AD38227">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（1）比较法</w:t>
      </w:r>
    </w:p>
    <w:p w14:paraId="60C4FF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通过对绩效目标与实施效果、历史与当期情况，综合分析绩效目标实现程度。对项目最终验收情况与年度绩效目标对比、预算资金执行情况等相关因素进行比较。</w:t>
      </w:r>
    </w:p>
    <w:p w14:paraId="0021C110">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（2）因素分析法</w:t>
      </w:r>
    </w:p>
    <w:p w14:paraId="763EEC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247E504E">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14:textFill>
            <w14:solidFill>
              <w14:schemeClr w14:val="tx1"/>
            </w14:solidFill>
          </w14:textFill>
        </w:rPr>
        <w:t>评价标准</w:t>
      </w:r>
    </w:p>
    <w:p w14:paraId="2FE8229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绩效评价标准通常包括计划标准、行业标准、历史标准等，用于对绩效指标完成情况进行比较、分析、评价。本次评价主要采用了计划标准。</w:t>
      </w:r>
    </w:p>
    <w:p w14:paraId="7A504CEB">
      <w:pPr>
        <w:pageBreakBefore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bookmarkStart w:id="0" w:name="_Toc31464"/>
      <w:bookmarkStart w:id="1" w:name="_Toc17882"/>
      <w:r>
        <w:rPr>
          <w:rFonts w:hint="eastAsia" w:eastAsia="方正仿宋_GBK" w:cs="方正仿宋_GBK"/>
          <w:b/>
          <w:bCs/>
          <w:color w:val="000000" w:themeColor="text1"/>
          <w:sz w:val="32"/>
          <w:szCs w:val="32"/>
          <w14:textFill>
            <w14:solidFill>
              <w14:schemeClr w14:val="tx1"/>
            </w14:solidFill>
          </w14:textFill>
        </w:rPr>
        <w:t>计划标准：</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指以预先制定的目标、计划、预算、定额等作为评价标准。</w:t>
      </w:r>
      <w:bookmarkEnd w:id="0"/>
      <w:bookmarkEnd w:id="1"/>
    </w:p>
    <w:p w14:paraId="6B0A0E38">
      <w:pPr>
        <w:pageBreakBefore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bookmarkStart w:id="2" w:name="_Toc2318"/>
      <w:bookmarkStart w:id="3" w:name="_Toc5633"/>
      <w:r>
        <w:rPr>
          <w:rFonts w:hint="eastAsia" w:eastAsia="方正仿宋_GBK" w:cs="方正仿宋_GBK"/>
          <w:b/>
          <w:bCs/>
          <w:color w:val="000000" w:themeColor="text1"/>
          <w:sz w:val="32"/>
          <w:szCs w:val="32"/>
          <w14:textFill>
            <w14:solidFill>
              <w14:schemeClr w14:val="tx1"/>
            </w14:solidFill>
          </w14:textFill>
        </w:rPr>
        <w:t>行业标准：</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指参照国家公布的行业指标数据制定的评价标准。</w:t>
      </w:r>
      <w:bookmarkEnd w:id="2"/>
      <w:bookmarkEnd w:id="3"/>
    </w:p>
    <w:p w14:paraId="5018A722">
      <w:pPr>
        <w:pageBreakBefore w:val="0"/>
        <w:kinsoku/>
        <w:wordWrap/>
        <w:overflowPunct/>
        <w:topLinePunct w:val="0"/>
        <w:autoSpaceDE/>
        <w:autoSpaceDN/>
        <w:bidi w:val="0"/>
        <w:adjustRightInd/>
        <w:snapToGrid/>
        <w:spacing w:line="560" w:lineRule="exact"/>
        <w:ind w:firstLine="640"/>
        <w:textAlignment w:val="auto"/>
        <w:rPr>
          <w:rFonts w:eastAsia="方正仿宋_GBK" w:cs="方正仿宋_GBK"/>
          <w:color w:val="000000" w:themeColor="text1"/>
          <w:sz w:val="32"/>
          <w:szCs w:val="32"/>
          <w14:textFill>
            <w14:solidFill>
              <w14:schemeClr w14:val="tx1"/>
            </w14:solidFill>
          </w14:textFill>
        </w:rPr>
      </w:pPr>
      <w:bookmarkStart w:id="4" w:name="_Toc430"/>
      <w:bookmarkStart w:id="5" w:name="_Toc16028"/>
      <w:r>
        <w:rPr>
          <w:rFonts w:hint="eastAsia" w:eastAsia="方正仿宋_GBK" w:cs="方正仿宋_GBK"/>
          <w:b/>
          <w:bCs/>
          <w:color w:val="000000" w:themeColor="text1"/>
          <w:sz w:val="32"/>
          <w:szCs w:val="32"/>
          <w14:textFill>
            <w14:solidFill>
              <w14:schemeClr w14:val="tx1"/>
            </w14:solidFill>
          </w14:textFill>
        </w:rPr>
        <w:t>历史标准：</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指参照历史数据制定的评价标准，为体现绩效改进的原则，在可实现的条件下应当确定相对较高的评价标准。</w:t>
      </w:r>
      <w:bookmarkEnd w:id="4"/>
      <w:bookmarkEnd w:id="5"/>
    </w:p>
    <w:p w14:paraId="36AC08BF">
      <w:pPr>
        <w:pStyle w:val="9"/>
        <w:pageBreakBefore w:val="0"/>
        <w:numPr>
          <w:ilvl w:val="0"/>
          <w:numId w:val="1"/>
        </w:numPr>
        <w:kinsoku/>
        <w:wordWrap/>
        <w:overflowPunct/>
        <w:topLinePunct w:val="0"/>
        <w:autoSpaceDE/>
        <w:autoSpaceDN/>
        <w:bidi w:val="0"/>
        <w:adjustRightInd/>
        <w:snapToGrid/>
        <w:spacing w:before="0" w:after="0" w:line="560" w:lineRule="exact"/>
        <w:ind w:firstLine="711" w:firstLineChars="200"/>
        <w:jc w:val="both"/>
        <w:textAlignment w:val="auto"/>
        <w:rPr>
          <w:rFonts w:ascii="楷体" w:hAnsi="楷体" w:eastAsia="楷体" w:cs="楷体"/>
          <w:color w:val="000000" w:themeColor="text1"/>
          <w:spacing w:val="17"/>
          <w14:textFill>
            <w14:solidFill>
              <w14:schemeClr w14:val="tx1"/>
            </w14:solidFill>
          </w14:textFill>
        </w:rPr>
      </w:pPr>
      <w:r>
        <w:rPr>
          <w:rFonts w:hint="eastAsia" w:ascii="楷体" w:hAnsi="楷体" w:eastAsia="楷体" w:cs="楷体"/>
          <w:color w:val="000000" w:themeColor="text1"/>
          <w:spacing w:val="17"/>
          <w14:textFill>
            <w14:solidFill>
              <w14:schemeClr w14:val="tx1"/>
            </w14:solidFill>
          </w14:textFill>
        </w:rPr>
        <w:t>绩效评价工作过程</w:t>
      </w:r>
    </w:p>
    <w:p w14:paraId="0718CC13">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1.前期准备。</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首先明确项目绩效目标，设计绩效评价指标体系并确定绩效评价方法；</w:t>
      </w: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其次</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确定评价范围，</w:t>
      </w: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明确数据收集资料</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；最后</w:t>
      </w: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对项目进行全面</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论证。</w:t>
      </w:r>
    </w:p>
    <w:p w14:paraId="1161FF34">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2.组织实施。</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根据相关</w:t>
      </w: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政策、</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会议纪要、财政资金分配方案</w:t>
      </w: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制定项目</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绩效评价，具体包括项目概况、评价思路、方法手段、组织实施、进度安排等</w:t>
      </w: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，收集有关</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支付管理情况等相关评价资料并进行梳理。</w:t>
      </w:r>
    </w:p>
    <w:p w14:paraId="26ED0D5F">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3.分析评价。</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根据收集梳理的资料围绕项目</w:t>
      </w: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目标</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、资金落实、</w:t>
      </w: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成本控制、使用效率</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等内容，对照已确定的绩效评价指标进行详细全面的分析评价，逐项打分并形成绩效评价最终结果。</w:t>
      </w:r>
    </w:p>
    <w:p w14:paraId="2E38B7B9">
      <w:pPr>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综合评价情况及评价结论（附相关评分表）</w:t>
      </w:r>
    </w:p>
    <w:p w14:paraId="41299622">
      <w:pPr>
        <w:pStyle w:val="9"/>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（一）评价情况</w:t>
      </w:r>
    </w:p>
    <w:p w14:paraId="093B59FE">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D6F7FE3">
      <w:pPr>
        <w:pStyle w:val="9"/>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（二）评价结论</w:t>
      </w:r>
    </w:p>
    <w:p w14:paraId="2070B51F">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100%。项目过程类指标权重为20分，得分为20分，得分率为100%。项目产出类指标权重为40分，得分为40分，得分率为 100%。项目效益类指标权重为20分，得分为20分，得分率为100%。具体打分情况详见：表1.综合评分表。</w:t>
      </w:r>
    </w:p>
    <w:p w14:paraId="654C8E0C">
      <w:pPr>
        <w:pStyle w:val="9"/>
        <w:pageBreakBefore w:val="0"/>
        <w:kinsoku/>
        <w:wordWrap/>
        <w:overflowPunct/>
        <w:topLinePunct w:val="0"/>
        <w:autoSpaceDE/>
        <w:autoSpaceDN/>
        <w:bidi w:val="0"/>
        <w:adjustRightInd/>
        <w:snapToGrid/>
        <w:spacing w:before="0" w:after="0" w:line="560" w:lineRule="exact"/>
        <w:textAlignment w:val="auto"/>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t>表1</w:t>
      </w:r>
      <w:r>
        <w:rPr>
          <w:rFonts w:hint="eastAsia" w:ascii="Times New Roman" w:hAnsi="Times New Roman" w:eastAsia="仿宋_GB2312"/>
          <w:color w:val="000000" w:themeColor="text1"/>
          <w:sz w:val="30"/>
          <w:szCs w:val="30"/>
          <w:lang w:val="en-US" w:eastAsia="zh-CN"/>
          <w14:textFill>
            <w14:solidFill>
              <w14:schemeClr w14:val="tx1"/>
            </w14:solidFill>
          </w14:textFill>
        </w:rPr>
        <w:t>.</w:t>
      </w:r>
      <w:r>
        <w:rPr>
          <w:rFonts w:ascii="Times New Roman" w:hAnsi="Times New Roman" w:eastAsia="仿宋_GB2312"/>
          <w:color w:val="000000" w:themeColor="text1"/>
          <w:sz w:val="30"/>
          <w:szCs w:val="30"/>
          <w14:textFill>
            <w14:solidFill>
              <w14:schemeClr w14:val="tx1"/>
            </w14:solidFill>
          </w14:textFill>
        </w:rPr>
        <w:t>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91E0C5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F8AE822">
            <w:pPr>
              <w:pageBreakBefore w:val="0"/>
              <w:kinsoku/>
              <w:wordWrap/>
              <w:overflowPunct/>
              <w:topLinePunct w:val="0"/>
              <w:autoSpaceDE/>
              <w:autoSpaceDN/>
              <w:bidi w:val="0"/>
              <w:adjustRightInd/>
              <w:snapToGrid/>
              <w:spacing w:line="560" w:lineRule="exact"/>
              <w:jc w:val="center"/>
              <w:textAlignment w:val="auto"/>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082157AE">
            <w:pPr>
              <w:pageBreakBefore w:val="0"/>
              <w:kinsoku/>
              <w:wordWrap/>
              <w:overflowPunct/>
              <w:topLinePunct w:val="0"/>
              <w:autoSpaceDE/>
              <w:autoSpaceDN/>
              <w:bidi w:val="0"/>
              <w:adjustRightInd/>
              <w:snapToGrid/>
              <w:spacing w:line="560" w:lineRule="exact"/>
              <w:jc w:val="center"/>
              <w:textAlignment w:val="auto"/>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4D8C087">
            <w:pPr>
              <w:pageBreakBefore w:val="0"/>
              <w:kinsoku/>
              <w:wordWrap/>
              <w:overflowPunct/>
              <w:topLinePunct w:val="0"/>
              <w:autoSpaceDE/>
              <w:autoSpaceDN/>
              <w:bidi w:val="0"/>
              <w:adjustRightInd/>
              <w:snapToGrid/>
              <w:spacing w:line="560" w:lineRule="exact"/>
              <w:jc w:val="center"/>
              <w:textAlignment w:val="auto"/>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得分</w:t>
            </w:r>
          </w:p>
        </w:tc>
      </w:tr>
      <w:tr w14:paraId="31A145D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5B8236">
            <w:pPr>
              <w:pageBreakBefore w:val="0"/>
              <w:kinsoku/>
              <w:wordWrap/>
              <w:overflowPunct/>
              <w:topLinePunct w:val="0"/>
              <w:autoSpaceDE/>
              <w:autoSpaceDN/>
              <w:bidi w:val="0"/>
              <w:adjustRightInd/>
              <w:snapToGrid/>
              <w:spacing w:line="560" w:lineRule="exact"/>
              <w:jc w:val="center"/>
              <w:textAlignment w:val="auto"/>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5E7CC0E6">
            <w:pPr>
              <w:pageBreakBefore w:val="0"/>
              <w:kinsoku/>
              <w:wordWrap/>
              <w:overflowPunct/>
              <w:topLinePunct w:val="0"/>
              <w:autoSpaceDE/>
              <w:autoSpaceDN/>
              <w:bidi w:val="0"/>
              <w:adjustRightInd/>
              <w:snapToGrid/>
              <w:spacing w:line="560" w:lineRule="exact"/>
              <w:jc w:val="center"/>
              <w:textAlignment w:val="auto"/>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118F672D">
            <w:pPr>
              <w:pageBreakBefore w:val="0"/>
              <w:kinsoku/>
              <w:wordWrap/>
              <w:overflowPunct/>
              <w:topLinePunct w:val="0"/>
              <w:autoSpaceDE/>
              <w:autoSpaceDN/>
              <w:bidi w:val="0"/>
              <w:adjustRightInd/>
              <w:snapToGrid/>
              <w:spacing w:line="560" w:lineRule="exact"/>
              <w:jc w:val="center"/>
              <w:textAlignment w:val="auto"/>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20</w:t>
            </w:r>
          </w:p>
        </w:tc>
      </w:tr>
      <w:tr w14:paraId="081948C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708F8D6">
            <w:pPr>
              <w:pageBreakBefore w:val="0"/>
              <w:kinsoku/>
              <w:wordWrap/>
              <w:overflowPunct/>
              <w:topLinePunct w:val="0"/>
              <w:autoSpaceDE/>
              <w:autoSpaceDN/>
              <w:bidi w:val="0"/>
              <w:adjustRightInd/>
              <w:snapToGrid/>
              <w:spacing w:line="560" w:lineRule="exact"/>
              <w:jc w:val="center"/>
              <w:textAlignment w:val="auto"/>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641B0401">
            <w:pPr>
              <w:pageBreakBefore w:val="0"/>
              <w:kinsoku/>
              <w:wordWrap/>
              <w:overflowPunct/>
              <w:topLinePunct w:val="0"/>
              <w:autoSpaceDE/>
              <w:autoSpaceDN/>
              <w:bidi w:val="0"/>
              <w:adjustRightInd/>
              <w:snapToGrid/>
              <w:spacing w:line="560" w:lineRule="exact"/>
              <w:jc w:val="center"/>
              <w:textAlignment w:val="auto"/>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08D69B5B">
            <w:pPr>
              <w:pageBreakBefore w:val="0"/>
              <w:kinsoku/>
              <w:wordWrap/>
              <w:overflowPunct/>
              <w:topLinePunct w:val="0"/>
              <w:autoSpaceDE/>
              <w:autoSpaceDN/>
              <w:bidi w:val="0"/>
              <w:adjustRightInd/>
              <w:snapToGrid/>
              <w:spacing w:line="560" w:lineRule="exact"/>
              <w:jc w:val="center"/>
              <w:textAlignment w:val="auto"/>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20</w:t>
            </w:r>
          </w:p>
        </w:tc>
      </w:tr>
      <w:tr w14:paraId="479147D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C57EBD3">
            <w:pPr>
              <w:pageBreakBefore w:val="0"/>
              <w:kinsoku/>
              <w:wordWrap/>
              <w:overflowPunct/>
              <w:topLinePunct w:val="0"/>
              <w:autoSpaceDE/>
              <w:autoSpaceDN/>
              <w:bidi w:val="0"/>
              <w:adjustRightInd/>
              <w:snapToGrid/>
              <w:spacing w:line="560" w:lineRule="exact"/>
              <w:jc w:val="center"/>
              <w:textAlignment w:val="auto"/>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6B7EDFBF">
            <w:pPr>
              <w:pageBreakBefore w:val="0"/>
              <w:kinsoku/>
              <w:wordWrap/>
              <w:overflowPunct/>
              <w:topLinePunct w:val="0"/>
              <w:autoSpaceDE/>
              <w:autoSpaceDN/>
              <w:bidi w:val="0"/>
              <w:adjustRightInd/>
              <w:snapToGrid/>
              <w:spacing w:line="560" w:lineRule="exact"/>
              <w:jc w:val="center"/>
              <w:textAlignment w:val="auto"/>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5740C212">
            <w:pPr>
              <w:pageBreakBefore w:val="0"/>
              <w:kinsoku/>
              <w:wordWrap/>
              <w:overflowPunct/>
              <w:topLinePunct w:val="0"/>
              <w:autoSpaceDE/>
              <w:autoSpaceDN/>
              <w:bidi w:val="0"/>
              <w:adjustRightInd/>
              <w:snapToGrid/>
              <w:spacing w:line="560" w:lineRule="exact"/>
              <w:jc w:val="center"/>
              <w:textAlignment w:val="auto"/>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40</w:t>
            </w:r>
          </w:p>
        </w:tc>
      </w:tr>
      <w:tr w14:paraId="7E104BB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35696B">
            <w:pPr>
              <w:pageBreakBefore w:val="0"/>
              <w:kinsoku/>
              <w:wordWrap/>
              <w:overflowPunct/>
              <w:topLinePunct w:val="0"/>
              <w:autoSpaceDE/>
              <w:autoSpaceDN/>
              <w:bidi w:val="0"/>
              <w:adjustRightInd/>
              <w:snapToGrid/>
              <w:spacing w:line="560" w:lineRule="exact"/>
              <w:jc w:val="center"/>
              <w:textAlignment w:val="auto"/>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4D7F700F">
            <w:pPr>
              <w:pageBreakBefore w:val="0"/>
              <w:kinsoku/>
              <w:wordWrap/>
              <w:overflowPunct/>
              <w:topLinePunct w:val="0"/>
              <w:autoSpaceDE/>
              <w:autoSpaceDN/>
              <w:bidi w:val="0"/>
              <w:adjustRightInd/>
              <w:snapToGrid/>
              <w:spacing w:line="560" w:lineRule="exact"/>
              <w:jc w:val="center"/>
              <w:textAlignment w:val="auto"/>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25975E95">
            <w:pPr>
              <w:pageBreakBefore w:val="0"/>
              <w:kinsoku/>
              <w:wordWrap/>
              <w:overflowPunct/>
              <w:topLinePunct w:val="0"/>
              <w:autoSpaceDE/>
              <w:autoSpaceDN/>
              <w:bidi w:val="0"/>
              <w:adjustRightInd/>
              <w:snapToGrid/>
              <w:spacing w:line="560" w:lineRule="exact"/>
              <w:jc w:val="center"/>
              <w:textAlignment w:val="auto"/>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20</w:t>
            </w:r>
          </w:p>
        </w:tc>
      </w:tr>
      <w:tr w14:paraId="5350C41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2CC71DD">
            <w:pPr>
              <w:pageBreakBefore w:val="0"/>
              <w:kinsoku/>
              <w:wordWrap/>
              <w:overflowPunct/>
              <w:topLinePunct w:val="0"/>
              <w:autoSpaceDE/>
              <w:autoSpaceDN/>
              <w:bidi w:val="0"/>
              <w:adjustRightInd/>
              <w:snapToGrid/>
              <w:spacing w:line="560" w:lineRule="exact"/>
              <w:jc w:val="center"/>
              <w:textAlignment w:val="auto"/>
              <w:rPr>
                <w:rFonts w:cs="宋体"/>
                <w:b/>
                <w:bCs/>
                <w:color w:val="000000" w:themeColor="text1"/>
                <w:sz w:val="22"/>
                <w14:textFill>
                  <w14:solidFill>
                    <w14:schemeClr w14:val="tx1"/>
                  </w14:solidFill>
                </w14:textFill>
              </w:rPr>
            </w:pPr>
            <w:r>
              <w:rPr>
                <w:rFonts w:hint="eastAsia" w:cs="宋体"/>
                <w:b/>
                <w:bCs/>
                <w:color w:val="000000" w:themeColor="text1"/>
                <w:sz w:val="22"/>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2CB96895">
            <w:pPr>
              <w:pageBreakBefore w:val="0"/>
              <w:kinsoku/>
              <w:wordWrap/>
              <w:overflowPunct/>
              <w:topLinePunct w:val="0"/>
              <w:autoSpaceDE/>
              <w:autoSpaceDN/>
              <w:bidi w:val="0"/>
              <w:adjustRightInd/>
              <w:snapToGrid/>
              <w:spacing w:line="560" w:lineRule="exact"/>
              <w:jc w:val="center"/>
              <w:textAlignment w:val="auto"/>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151FA1B9">
            <w:pPr>
              <w:pageBreakBefore w:val="0"/>
              <w:kinsoku/>
              <w:wordWrap/>
              <w:overflowPunct/>
              <w:topLinePunct w:val="0"/>
              <w:autoSpaceDE/>
              <w:autoSpaceDN/>
              <w:bidi w:val="0"/>
              <w:adjustRightInd/>
              <w:snapToGrid/>
              <w:spacing w:line="560" w:lineRule="exact"/>
              <w:jc w:val="center"/>
              <w:textAlignment w:val="auto"/>
              <w:rPr>
                <w:rFonts w:hint="default" w:eastAsia="宋体"/>
                <w:b/>
                <w:bCs/>
                <w:color w:val="000000" w:themeColor="text1"/>
                <w:sz w:val="22"/>
                <w:lang w:val="en-US" w:eastAsia="zh-CN"/>
                <w14:textFill>
                  <w14:solidFill>
                    <w14:schemeClr w14:val="tx1"/>
                  </w14:solidFill>
                </w14:textFill>
              </w:rPr>
            </w:pPr>
            <w:r>
              <w:rPr>
                <w:rFonts w:hint="eastAsia"/>
                <w:b/>
                <w:bCs/>
                <w:color w:val="000000" w:themeColor="text1"/>
                <w:sz w:val="22"/>
                <w:lang w:val="en-US" w:eastAsia="zh-CN"/>
                <w14:textFill>
                  <w14:solidFill>
                    <w14:schemeClr w14:val="tx1"/>
                  </w14:solidFill>
                </w14:textFill>
              </w:rPr>
              <w:t>100</w:t>
            </w:r>
          </w:p>
        </w:tc>
      </w:tr>
    </w:tbl>
    <w:p w14:paraId="73547A0A">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四、绩效评价指标分析</w:t>
      </w:r>
    </w:p>
    <w:p w14:paraId="0E0E2DF8">
      <w:pPr>
        <w:pStyle w:val="9"/>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ascii="Times New Roman" w:hAnsi="Times New Roman" w:eastAsia="楷体_GB2312"/>
          <w:color w:val="000000" w:themeColor="text1"/>
          <w14:textFill>
            <w14:solidFill>
              <w14:schemeClr w14:val="tx1"/>
            </w14:solidFill>
          </w14:textFill>
        </w:rPr>
      </w:pPr>
      <w:r>
        <w:rPr>
          <w:rFonts w:ascii="Times New Roman" w:hAnsi="Times New Roman" w:eastAsia="楷体_GB2312"/>
          <w:color w:val="000000" w:themeColor="text1"/>
          <w14:textFill>
            <w14:solidFill>
              <w14:schemeClr w14:val="tx1"/>
            </w14:solidFill>
          </w14:textFill>
        </w:rPr>
        <w:t>（一）项目决策情况</w:t>
      </w:r>
    </w:p>
    <w:p w14:paraId="232CC89B">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42878A98">
      <w:pPr>
        <w:pStyle w:val="2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1.项目立项</w:t>
      </w:r>
    </w:p>
    <w:p w14:paraId="78618ABE">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（1）立项依据充分性</w:t>
      </w:r>
    </w:p>
    <w:p w14:paraId="607524A5">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BE5404D">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（2）立项程序规范性</w:t>
      </w:r>
    </w:p>
    <w:p w14:paraId="1E89671F">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项目申请、设立过程符合相关要求，</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14:textFill>
            <w14:solidFill>
              <w14:schemeClr w14:val="tx1"/>
            </w14:solidFill>
          </w14:textFill>
        </w:rPr>
        <w:t>严格按照审批流程准备符合要求的文件、材料；</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2F75ECD0">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2.绩效目标</w:t>
      </w:r>
    </w:p>
    <w:p w14:paraId="10EFF8BC">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（1）绩效目标合理性</w:t>
      </w:r>
    </w:p>
    <w:p w14:paraId="47EB833B">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14:textFill>
            <w14:solidFill>
              <w14:schemeClr w14:val="tx1"/>
            </w14:solidFill>
          </w14:textFill>
        </w:rPr>
        <w:t>年初结合实际工作内容</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设定绩效目标</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14:textFill>
            <w14:solidFill>
              <w14:schemeClr w14:val="tx1"/>
            </w14:solidFill>
          </w14:textFill>
        </w:rPr>
        <w:t>，绩效目标</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1DF8262">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（2）绩效指标明确性</w:t>
      </w:r>
    </w:p>
    <w:p w14:paraId="653BBBD6">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26F0009D">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3.资金投入</w:t>
      </w:r>
    </w:p>
    <w:p w14:paraId="21993D81">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（1）预算编制科学性</w:t>
      </w:r>
    </w:p>
    <w:p w14:paraId="02639E1A">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预算编制经过科学论证，提供充分的测算依据佐证资料，预算内容与项目内容相匹配。项目投资额与工作任务相匹配。</w:t>
      </w:r>
    </w:p>
    <w:p w14:paraId="1F327AED">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（2）资金分配合理性</w:t>
      </w:r>
    </w:p>
    <w:p w14:paraId="6C1533A8">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资金分配额度与项目单位实际工作内容相适应，资金分配额度合理，资金分配依据充分。</w:t>
      </w:r>
    </w:p>
    <w:p w14:paraId="260DFB84">
      <w:pPr>
        <w:pStyle w:val="9"/>
        <w:pageBreakBefore w:val="0"/>
        <w:numPr>
          <w:ilvl w:val="0"/>
          <w:numId w:val="3"/>
        </w:numPr>
        <w:kinsoku/>
        <w:wordWrap/>
        <w:overflowPunct/>
        <w:topLinePunct w:val="0"/>
        <w:autoSpaceDE/>
        <w:autoSpaceDN/>
        <w:bidi w:val="0"/>
        <w:adjustRightInd/>
        <w:snapToGrid/>
        <w:spacing w:before="0" w:after="0" w:line="560" w:lineRule="exact"/>
        <w:ind w:firstLine="643" w:firstLineChars="200"/>
        <w:jc w:val="both"/>
        <w:textAlignment w:val="auto"/>
        <w:rPr>
          <w:rFonts w:ascii="楷体" w:hAnsi="楷体" w:eastAsia="楷体" w:cs="楷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项目过程情况</w:t>
      </w:r>
    </w:p>
    <w:p w14:paraId="716B5F71">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项目过程类指标包括资金管理和组织实施两方面的内容，由5个三级指标构成，权重分值为20分，实际得分20分，得分率为100%。</w:t>
      </w:r>
    </w:p>
    <w:p w14:paraId="55829715">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295CD26A">
      <w:pPr>
        <w:pStyle w:val="2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1.资金管理</w:t>
      </w:r>
    </w:p>
    <w:p w14:paraId="24594BD2">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（1）资金到位率</w:t>
      </w:r>
    </w:p>
    <w:p w14:paraId="0881CE4E">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本项目总投资395.68万元，财政资金及时足额到位，到位率100%，预算资金按计划进度执行。</w:t>
      </w:r>
    </w:p>
    <w:p w14:paraId="573EDE80">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（2）预算执行率</w:t>
      </w:r>
    </w:p>
    <w:p w14:paraId="74F7FC08">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预算编制较为详细，项目资金支出总体能够按照预算执行，预算资金支出395.68万元，预算执行率为100%。</w:t>
      </w:r>
    </w:p>
    <w:p w14:paraId="3040E4A6">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（3）资金使用合规性</w:t>
      </w:r>
    </w:p>
    <w:p w14:paraId="2551588A">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905482A">
      <w:pPr>
        <w:pStyle w:val="2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2.组织实施</w:t>
      </w:r>
    </w:p>
    <w:p w14:paraId="210AE15E">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（1）管理制度健全性</w:t>
      </w:r>
    </w:p>
    <w:p w14:paraId="08A30BCA">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5536739">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（2）制度执行有效性</w:t>
      </w:r>
    </w:p>
    <w:p w14:paraId="5E3B31AD">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237876BC">
      <w:pPr>
        <w:pStyle w:val="10"/>
        <w:pageBreakBefore w:val="0"/>
        <w:numPr>
          <w:ilvl w:val="0"/>
          <w:numId w:val="3"/>
        </w:numPr>
        <w:kinsoku/>
        <w:wordWrap/>
        <w:overflowPunct/>
        <w:topLinePunct w:val="0"/>
        <w:autoSpaceDE/>
        <w:autoSpaceDN/>
        <w:bidi w:val="0"/>
        <w:adjustRightInd/>
        <w:snapToGrid/>
        <w:spacing w:line="560" w:lineRule="exact"/>
        <w:ind w:firstLine="643"/>
        <w:textAlignment w:val="auto"/>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项目产出</w:t>
      </w:r>
      <w:r>
        <w:rPr>
          <w:rFonts w:hint="eastAsia" w:eastAsia="楷体_GB2312"/>
          <w:b/>
          <w:bCs/>
          <w:color w:val="000000" w:themeColor="text1"/>
          <w:sz w:val="32"/>
          <w:szCs w:val="32"/>
          <w14:textFill>
            <w14:solidFill>
              <w14:schemeClr w14:val="tx1"/>
            </w14:solidFill>
          </w14:textFill>
        </w:rPr>
        <w:t>情况</w:t>
      </w:r>
    </w:p>
    <w:p w14:paraId="638C0DCC">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项目产出类指标包括产出数量、产出质量、产出时效、产出成本四方面的内容，由5个三级指标构成，权重分为60分，实际得分60分，得分率为100%。具体产出指标完成情况如下：</w:t>
      </w:r>
    </w:p>
    <w:p w14:paraId="221B1002">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lang w:val="en-US" w:eastAsia="zh-CN"/>
          <w14:textFill>
            <w14:solidFill>
              <w14:schemeClr w14:val="tx1"/>
            </w14:solidFill>
          </w14:textFill>
        </w:rPr>
        <w:fldChar w:fldCharType="begin"/>
      </w:r>
      <w:r>
        <w:rPr>
          <w:rFonts w:hint="eastAsia" w:ascii="Times New Roman" w:hAnsi="Times New Roman" w:eastAsia="方正仿宋_GBK" w:cs="Times New Roman"/>
          <w:i w:val="0"/>
          <w:iCs w:val="0"/>
          <w:caps w:val="0"/>
          <w:color w:val="000000" w:themeColor="text1"/>
          <w:spacing w:val="0"/>
          <w:sz w:val="32"/>
          <w:szCs w:val="32"/>
          <w:highlight w:val="none"/>
          <w:lang w:val="en-US" w:eastAsia="zh-CN"/>
          <w14:textFill>
            <w14:solidFill>
              <w14:schemeClr w14:val="tx1"/>
            </w14:solidFill>
          </w14:textFill>
        </w:rPr>
        <w:instrText xml:space="preserve"> = 1 \* GB3 </w:instrTex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fldChar w:fldCharType="separate"/>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①</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fldChar w:fldCharType="end"/>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数量指标：</w:t>
      </w:r>
    </w:p>
    <w:p w14:paraId="4AED8999">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指标1：租赁办公楼层，指标值：2层，</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20-21层（20层2001-2008房、21层2101-2108房），</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实际完成值：2层，指标完成率100%，无偏差。</w:t>
      </w:r>
    </w:p>
    <w:p w14:paraId="3A04C759">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指标2：临时办公区域总面积，指标值：3318.16平方米，实际完成值：3318.16平方米，指标完成率100%，无偏差。</w:t>
      </w:r>
    </w:p>
    <w:p w14:paraId="19D50EAB">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lang w:val="en-US" w:eastAsia="zh-CN"/>
          <w14:textFill>
            <w14:solidFill>
              <w14:schemeClr w14:val="tx1"/>
            </w14:solidFill>
          </w14:textFill>
        </w:rPr>
        <w:fldChar w:fldCharType="begin"/>
      </w:r>
      <w:r>
        <w:rPr>
          <w:rFonts w:hint="eastAsia" w:ascii="Times New Roman" w:hAnsi="Times New Roman" w:eastAsia="方正仿宋_GBK" w:cs="Times New Roman"/>
          <w:i w:val="0"/>
          <w:iCs w:val="0"/>
          <w:caps w:val="0"/>
          <w:color w:val="000000" w:themeColor="text1"/>
          <w:spacing w:val="0"/>
          <w:sz w:val="32"/>
          <w:szCs w:val="32"/>
          <w:highlight w:val="none"/>
          <w:lang w:val="en-US" w:eastAsia="zh-CN"/>
          <w14:textFill>
            <w14:solidFill>
              <w14:schemeClr w14:val="tx1"/>
            </w14:solidFill>
          </w14:textFill>
        </w:rPr>
        <w:instrText xml:space="preserve"> = 2 \* GB3 </w:instrTex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fldChar w:fldCharType="separate"/>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②</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fldChar w:fldCharType="end"/>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质量指标：</w:t>
      </w:r>
    </w:p>
    <w:p w14:paraId="3BAC9F9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指标1：办公楼基础设施配备率，指标值：100%，</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主要</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配备中央空调（海尔）、新风净化系统（霍尼韦尔）、门禁系统、监控系统、会议系统、局域网设备网络系统；配备整体办公家具（震旦品牌）；配备室外中亚十一国旗杆；配备外立面LOGO两处。</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实际完成值：100%，</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实际完成</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20层</w:t>
      </w:r>
      <w:r>
        <w:rPr>
          <w:rFonts w:hint="default" w:ascii="Times New Roman" w:hAnsi="Times New Roman" w:eastAsia="方正仿宋_GBK"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21层</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进行高标准精装修，</w:t>
      </w:r>
      <w:r>
        <w:rPr>
          <w:rFonts w:hint="eastAsia" w:eastAsia="方正仿宋_GBK" w:cs="Times New Roman"/>
          <w:color w:val="000000" w:themeColor="text1"/>
          <w:sz w:val="32"/>
          <w:szCs w:val="32"/>
          <w:highlight w:val="none"/>
          <w:lang w:val="en-US" w:eastAsia="zh-CN"/>
          <w14:textFill>
            <w14:solidFill>
              <w14:schemeClr w14:val="tx1"/>
            </w14:solidFill>
          </w14:textFill>
        </w:rPr>
        <w:t>完成办公楼基础设施配备。</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指标完成率100%</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无偏差。</w:t>
      </w:r>
    </w:p>
    <w:p w14:paraId="07901F85">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指标2：办公场所正常使用率，指标值：100%，</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主要</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配备咖啡机、洗碗机、热水器、消毒柜、跑步机、划船机、椭圆机、商用净饮水一体机、联想笔记本、台式电脑、打印机、碎纸机、照相机、传真机</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实际完成值：100%，</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按照办公需求完成配备，保障办公场所正常使用。</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指标完成率100%</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无偏差。</w:t>
      </w:r>
    </w:p>
    <w:p w14:paraId="33F7A993">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③</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经济成本指标：</w:t>
      </w:r>
    </w:p>
    <w:p w14:paraId="0EC7CBB6">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指标1：租金标准 ，指标值：395.68万元，实际完成值：395.68万元，指标完成率100%，无偏差。</w:t>
      </w:r>
    </w:p>
    <w:p w14:paraId="5FE50E11">
      <w:pPr>
        <w:pStyle w:val="10"/>
        <w:pageBreakBefore w:val="0"/>
        <w:numPr>
          <w:ilvl w:val="0"/>
          <w:numId w:val="3"/>
        </w:numPr>
        <w:kinsoku/>
        <w:wordWrap/>
        <w:overflowPunct/>
        <w:topLinePunct w:val="0"/>
        <w:autoSpaceDE/>
        <w:autoSpaceDN/>
        <w:bidi w:val="0"/>
        <w:adjustRightInd/>
        <w:snapToGrid/>
        <w:spacing w:line="560" w:lineRule="exact"/>
        <w:ind w:firstLine="643"/>
        <w:textAlignment w:val="auto"/>
        <w:rPr>
          <w:rFonts w:eastAsia="楷体_GB2312"/>
          <w:b/>
          <w:bCs/>
          <w:color w:val="000000" w:themeColor="text1"/>
          <w:sz w:val="32"/>
          <w:szCs w:val="32"/>
          <w14:textFill>
            <w14:solidFill>
              <w14:schemeClr w14:val="tx1"/>
            </w14:solidFill>
          </w14:textFill>
        </w:rPr>
      </w:pPr>
      <w:r>
        <w:rPr>
          <w:rFonts w:hint="eastAsia" w:eastAsia="楷体_GB2312"/>
          <w:b/>
          <w:bCs/>
          <w:color w:val="000000" w:themeColor="text1"/>
          <w:sz w:val="32"/>
          <w:szCs w:val="32"/>
          <w14:textFill>
            <w14:solidFill>
              <w14:schemeClr w14:val="tx1"/>
            </w14:solidFill>
          </w14:textFill>
        </w:rPr>
        <w:t>项目效益情况</w:t>
      </w:r>
    </w:p>
    <w:p w14:paraId="78A1C3A2">
      <w:pPr>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项目效益类指标包括项目实施效益和满意度两方面的内容，由2个三级指标构成，权重分为30分，实际得分30分，得分率为100%。具体效益指标及满意度指标完成情况如下：</w:t>
      </w:r>
    </w:p>
    <w:p w14:paraId="0ABF2E4E">
      <w:pPr>
        <w:pageBreakBefore w:val="0"/>
        <w:kinsoku/>
        <w:wordWrap/>
        <w:overflowPunct/>
        <w:topLinePunct w:val="0"/>
        <w:autoSpaceDE/>
        <w:autoSpaceDN/>
        <w:bidi w:val="0"/>
        <w:adjustRightInd/>
        <w:snapToGrid/>
        <w:spacing w:line="560" w:lineRule="exact"/>
        <w:ind w:firstLine="643" w:firstLineChars="200"/>
        <w:textAlignment w:val="auto"/>
        <w:outlineLvl w:val="0"/>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1.实施效益</w:t>
      </w:r>
    </w:p>
    <w:p w14:paraId="1CA346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社会效益指标：保障办公业务正常开展，指标值：有效保障，实际完成值：按要求有效保障，</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通过财政专项资金为学院日常运营提供了良好的硬件条件</w:t>
      </w:r>
      <w:r>
        <w:rPr>
          <w:rFonts w:hint="eastAsia"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全力支持中亚学院</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基础设施配备</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，能够满足国际职员工作与生活需求，确保长期发展。</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指标完成率100%，无偏差。</w:t>
      </w:r>
    </w:p>
    <w:p w14:paraId="22297098">
      <w:pPr>
        <w:pageBreakBefore w:val="0"/>
        <w:kinsoku/>
        <w:wordWrap/>
        <w:overflowPunct/>
        <w:topLinePunct w:val="0"/>
        <w:autoSpaceDE/>
        <w:autoSpaceDN/>
        <w:bidi w:val="0"/>
        <w:adjustRightInd/>
        <w:snapToGrid/>
        <w:spacing w:line="560" w:lineRule="exact"/>
        <w:ind w:firstLine="643" w:firstLineChars="200"/>
        <w:textAlignment w:val="auto"/>
        <w:outlineLvl w:val="0"/>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2.满意度</w:t>
      </w:r>
    </w:p>
    <w:p w14:paraId="6C519A9C">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满意度指标：中亚学院人员满意度，指标值：</w:t>
      </w:r>
      <w:r>
        <w:rPr>
          <w:rFonts w:hint="default"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90%，完成值100%，</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发放问卷20份，满意度达100%，</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指标完成率：</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111.11</w:t>
      </w:r>
      <w:r>
        <w:rPr>
          <w:rFonts w:hint="eastAsia" w:ascii="Times New Roman" w:hAnsi="Times New Roman"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w:t>
      </w: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偏差原因分析：按照中亚学院需求，保障及时到位，满意度较高。</w:t>
      </w:r>
    </w:p>
    <w:p w14:paraId="13A73F3F">
      <w:pPr>
        <w:pageBreakBefore w:val="0"/>
        <w:kinsoku/>
        <w:wordWrap/>
        <w:overflowPunct/>
        <w:topLinePunct w:val="0"/>
        <w:autoSpaceDE/>
        <w:autoSpaceDN/>
        <w:bidi w:val="0"/>
        <w:adjustRightInd/>
        <w:snapToGrid/>
        <w:spacing w:line="560" w:lineRule="exact"/>
        <w:ind w:firstLine="640" w:firstLineChars="200"/>
        <w:textAlignment w:val="auto"/>
        <w:rPr>
          <w:rStyle w:val="19"/>
          <w:rFonts w:ascii="Times New Roman" w:hAnsi="Times New Roman" w:cs="Times New Roman"/>
          <w:color w:val="000000" w:themeColor="text1"/>
          <w14:textFill>
            <w14:solidFill>
              <w14:schemeClr w14:val="tx1"/>
            </w14:solidFill>
          </w14:textFill>
        </w:rPr>
      </w:pPr>
      <w:r>
        <w:rPr>
          <w:rFonts w:hint="eastAsia" w:eastAsia="黑体"/>
          <w:color w:val="000000" w:themeColor="text1"/>
          <w:sz w:val="32"/>
          <w:szCs w:val="32"/>
          <w:lang w:val="en-US" w:eastAsia="zh-CN"/>
          <w14:textFill>
            <w14:solidFill>
              <w14:schemeClr w14:val="tx1"/>
            </w14:solidFill>
          </w14:textFill>
        </w:rPr>
        <w:t>五</w:t>
      </w:r>
      <w:r>
        <w:rPr>
          <w:rFonts w:eastAsia="黑体"/>
          <w:color w:val="000000" w:themeColor="text1"/>
          <w:sz w:val="32"/>
          <w:szCs w:val="32"/>
          <w14:textFill>
            <w14:solidFill>
              <w14:schemeClr w14:val="tx1"/>
            </w14:solidFill>
          </w14:textFill>
        </w:rPr>
        <w:t>、主要经验及做法、存在的问题及原因分析</w:t>
      </w:r>
    </w:p>
    <w:p w14:paraId="40918769">
      <w:pPr>
        <w:pageBreakBefore w:val="0"/>
        <w:kinsoku/>
        <w:wordWrap/>
        <w:overflowPunct/>
        <w:topLinePunct w:val="0"/>
        <w:autoSpaceDE/>
        <w:autoSpaceDN/>
        <w:bidi w:val="0"/>
        <w:adjustRightInd/>
        <w:snapToGrid/>
        <w:spacing w:line="560" w:lineRule="exact"/>
        <w:ind w:firstLine="627" w:firstLineChars="200"/>
        <w:textAlignment w:val="auto"/>
        <w:rPr>
          <w:rFonts w:eastAsia="楷体"/>
          <w:b/>
          <w:color w:val="000000" w:themeColor="text1"/>
          <w:spacing w:val="-4"/>
          <w:sz w:val="32"/>
          <w:szCs w:val="32"/>
          <w14:textFill>
            <w14:solidFill>
              <w14:schemeClr w14:val="tx1"/>
            </w14:solidFill>
          </w14:textFill>
        </w:rPr>
      </w:pPr>
      <w:r>
        <w:rPr>
          <w:rFonts w:eastAsia="楷体"/>
          <w:b/>
          <w:color w:val="000000" w:themeColor="text1"/>
          <w:spacing w:val="-4"/>
          <w:sz w:val="32"/>
          <w:szCs w:val="32"/>
          <w14:textFill>
            <w14:solidFill>
              <w14:schemeClr w14:val="tx1"/>
            </w14:solidFill>
          </w14:textFill>
        </w:rPr>
        <w:t>（一）主要经验及做法</w:t>
      </w:r>
    </w:p>
    <w:p w14:paraId="1CC2167E">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B9CD35B">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3545303">
      <w:pPr>
        <w:keepNext/>
        <w:keepLines/>
        <w:pageBreakBefore w:val="0"/>
        <w:numPr>
          <w:ilvl w:val="0"/>
          <w:numId w:val="4"/>
        </w:numPr>
        <w:kinsoku/>
        <w:wordWrap/>
        <w:overflowPunct/>
        <w:topLinePunct w:val="0"/>
        <w:autoSpaceDE/>
        <w:autoSpaceDN/>
        <w:bidi w:val="0"/>
        <w:adjustRightInd/>
        <w:snapToGrid/>
        <w:spacing w:line="560" w:lineRule="exact"/>
        <w:ind w:firstLine="643" w:firstLineChars="200"/>
        <w:textAlignment w:val="auto"/>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存在的问题及原因分析</w:t>
      </w:r>
    </w:p>
    <w:p w14:paraId="7ED5FC6E">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D9C3DBB">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val="en-US" w:eastAsia="zh-CN"/>
          <w14:textFill>
            <w14:solidFill>
              <w14:schemeClr w14:val="tx1"/>
            </w14:solidFill>
          </w14:textFill>
        </w:rPr>
        <w:t>六</w:t>
      </w:r>
      <w:r>
        <w:rPr>
          <w:rFonts w:hint="eastAsia" w:eastAsia="黑体"/>
          <w:color w:val="000000" w:themeColor="text1"/>
          <w:sz w:val="32"/>
          <w:szCs w:val="32"/>
          <w14:textFill>
            <w14:solidFill>
              <w14:schemeClr w14:val="tx1"/>
            </w14:solidFill>
          </w14:textFill>
        </w:rPr>
        <w:t>、</w:t>
      </w:r>
      <w:r>
        <w:rPr>
          <w:rFonts w:eastAsia="黑体"/>
          <w:color w:val="000000" w:themeColor="text1"/>
          <w:sz w:val="32"/>
          <w:szCs w:val="32"/>
          <w14:textFill>
            <w14:solidFill>
              <w14:schemeClr w14:val="tx1"/>
            </w14:solidFill>
          </w14:textFill>
        </w:rPr>
        <w:t>有关建议</w:t>
      </w:r>
    </w:p>
    <w:p w14:paraId="49505A98">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77647C06">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2</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.进一步完善项目评价过程中有关数据和资料的收集、整理、审核及分析。项目启动时同步做好档案的归纳与整理，及时整理、收集、汇总，健全档案资料。项目后续管理有待进一步加强和跟踪。</w:t>
      </w:r>
    </w:p>
    <w:p w14:paraId="0AD4AD64">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pPr>
      <w:r>
        <w:rPr>
          <w:rFonts w:hint="eastAsia"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3</w:t>
      </w:r>
      <w:r>
        <w:rPr>
          <w:rFonts w:hint="eastAsia" w:ascii="Times New Roman" w:hAnsi="Times New Roman" w:eastAsia="方正仿宋_GBK" w:cs="Times New Roman"/>
          <w:i w:val="0"/>
          <w:iCs w:val="0"/>
          <w:caps w:val="0"/>
          <w:color w:val="000000" w:themeColor="text1"/>
          <w:spacing w:val="0"/>
          <w:sz w:val="32"/>
          <w:szCs w:val="32"/>
          <w:shd w:val="clear" w:color="auto" w:fill="FFFFFF"/>
          <w:lang w:val="en-US" w:eastAsia="zh-CN"/>
          <w14:textFill>
            <w14:solidFill>
              <w14:schemeClr w14:val="tx1"/>
            </w14:solidFill>
          </w14:textFill>
        </w:rPr>
        <w:t>.进一步加大全局对全面实施预算绩效管理和绩效管理工作的学习力度，提高对预算绩效管理工作重要性的认识，总结经验查找问题，让“花钱必问效，无效必问责”的理念深入工作每个环节。</w:t>
      </w:r>
    </w:p>
    <w:p w14:paraId="7AFFA3EB">
      <w:pPr>
        <w:pageBreakBefore w:val="0"/>
        <w:kinsoku/>
        <w:wordWrap/>
        <w:overflowPunct/>
        <w:topLinePunct w:val="0"/>
        <w:autoSpaceDE/>
        <w:autoSpaceDN/>
        <w:bidi w:val="0"/>
        <w:adjustRightInd/>
        <w:snapToGrid/>
        <w:spacing w:line="560" w:lineRule="exact"/>
        <w:ind w:firstLine="640" w:firstLineChars="200"/>
        <w:textAlignment w:val="auto"/>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val="en-US" w:eastAsia="zh-CN"/>
          <w14:textFill>
            <w14:solidFill>
              <w14:schemeClr w14:val="tx1"/>
            </w14:solidFill>
          </w14:textFill>
        </w:rPr>
        <w:t>七</w:t>
      </w:r>
      <w:r>
        <w:rPr>
          <w:rFonts w:hint="eastAsia" w:eastAsia="黑体"/>
          <w:color w:val="000000" w:themeColor="text1"/>
          <w:sz w:val="32"/>
          <w:szCs w:val="32"/>
          <w14:textFill>
            <w14:solidFill>
              <w14:schemeClr w14:val="tx1"/>
            </w14:solidFill>
          </w14:textFill>
        </w:rPr>
        <w:t>、</w:t>
      </w:r>
      <w:r>
        <w:rPr>
          <w:rFonts w:eastAsia="黑体"/>
          <w:color w:val="000000" w:themeColor="text1"/>
          <w:sz w:val="32"/>
          <w:szCs w:val="32"/>
          <w14:textFill>
            <w14:solidFill>
              <w14:schemeClr w14:val="tx1"/>
            </w14:solidFill>
          </w14:textFill>
        </w:rPr>
        <w:t>其他需要说</w:t>
      </w:r>
      <w:bookmarkStart w:id="6" w:name="page8"/>
      <w:bookmarkEnd w:id="6"/>
      <w:r>
        <w:rPr>
          <w:rFonts w:eastAsia="黑体"/>
          <w:color w:val="000000" w:themeColor="text1"/>
          <w:sz w:val="32"/>
          <w:szCs w:val="32"/>
          <w14:textFill>
            <w14:solidFill>
              <w14:schemeClr w14:val="tx1"/>
            </w14:solidFill>
          </w14:textFill>
        </w:rPr>
        <w:t>明的问题</w:t>
      </w:r>
    </w:p>
    <w:p w14:paraId="3C9DD48D">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1.项目支出政策和路径设计科学，符合实际需要；</w:t>
      </w:r>
    </w:p>
    <w:p w14:paraId="120E5EAF">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2.项目安排准确，未发现背离项目立项初衷的情况；</w:t>
      </w:r>
    </w:p>
    <w:p w14:paraId="17B1B8C9">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3.项目的申报、审核机制完善；</w:t>
      </w:r>
    </w:p>
    <w:p w14:paraId="0A0ED648">
      <w:pPr>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pPr>
      <w:r>
        <w:rPr>
          <w:rFonts w:hint="eastAsia" w:eastAsia="方正仿宋_GBK" w:cs="Times New Roman"/>
          <w:i w:val="0"/>
          <w:iCs w:val="0"/>
          <w:caps w:val="0"/>
          <w:color w:val="000000" w:themeColor="text1"/>
          <w:spacing w:val="0"/>
          <w:sz w:val="32"/>
          <w:szCs w:val="32"/>
          <w:highlight w:val="none"/>
          <w:shd w:val="clear" w:color="auto" w:fill="FFFFFF"/>
          <w:lang w:val="en-US" w:eastAsia="zh-CN"/>
          <w14:textFill>
            <w14:solidFill>
              <w14:schemeClr w14:val="tx1"/>
            </w14:solidFill>
          </w14:textFill>
        </w:rPr>
        <w:t>4.未发现虚假行为和骗取财政资金的问题。</w:t>
      </w:r>
    </w:p>
    <w:p w14:paraId="14AFA79F">
      <w:pPr>
        <w:rPr>
          <w:highlight w:val="none"/>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79C5C9-3261-468F-929C-D37D767E67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83CD3F7-E5AB-4DEE-B341-3C97958A79E2}"/>
  </w:font>
  <w:font w:name="华文中宋">
    <w:panose1 w:val="02010600040101010101"/>
    <w:charset w:val="86"/>
    <w:family w:val="auto"/>
    <w:pitch w:val="default"/>
    <w:sig w:usb0="00000287" w:usb1="080F0000" w:usb2="00000000" w:usb3="00000000" w:csb0="0004009F" w:csb1="DFD70000"/>
    <w:embedRegular r:id="rId3" w:fontKey="{230DF5C7-21B0-4BAB-945C-9A0D7EF39042}"/>
  </w:font>
  <w:font w:name="方正小标宋_GBK">
    <w:panose1 w:val="02000000000000000000"/>
    <w:charset w:val="86"/>
    <w:family w:val="script"/>
    <w:pitch w:val="default"/>
    <w:sig w:usb0="A00002BF" w:usb1="38CF7CFA" w:usb2="00082016" w:usb3="00000000" w:csb0="00040001" w:csb1="00000000"/>
    <w:embedRegular r:id="rId4" w:fontKey="{4E3ADF60-18F3-401F-8F57-E28FC033C939}"/>
  </w:font>
  <w:font w:name="楷体_GB2312">
    <w:panose1 w:val="02010609030101010101"/>
    <w:charset w:val="86"/>
    <w:family w:val="auto"/>
    <w:pitch w:val="default"/>
    <w:sig w:usb0="00000001" w:usb1="080E0000" w:usb2="00000000" w:usb3="00000000" w:csb0="00040000" w:csb1="00000000"/>
    <w:embedRegular r:id="rId5" w:fontKey="{9BB7E602-3768-4A8D-ABE9-8A29A4E240A9}"/>
  </w:font>
  <w:font w:name="方正仿宋_GBK">
    <w:panose1 w:val="02000000000000000000"/>
    <w:charset w:val="86"/>
    <w:family w:val="auto"/>
    <w:pitch w:val="default"/>
    <w:sig w:usb0="A00002BF" w:usb1="38CF7CFA" w:usb2="00082016" w:usb3="00000000" w:csb0="00040001" w:csb1="00000000"/>
    <w:embedRegular r:id="rId6" w:fontKey="{BCF1F1EF-11CD-4E7F-A388-B3954C753BB0}"/>
  </w:font>
  <w:font w:name="楷体">
    <w:panose1 w:val="02010609060101010101"/>
    <w:charset w:val="86"/>
    <w:family w:val="modern"/>
    <w:pitch w:val="default"/>
    <w:sig w:usb0="800002BF" w:usb1="38CF7CFA" w:usb2="00000016" w:usb3="00000000" w:csb0="00040001" w:csb1="00000000"/>
    <w:embedRegular r:id="rId7" w:fontKey="{3F7BC9F9-3EA6-430B-A762-B350E897A42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341178A6">
        <w:pPr>
          <w:pStyle w:val="7"/>
          <w:jc w:val="center"/>
        </w:pPr>
        <w:r>
          <w:fldChar w:fldCharType="begin"/>
        </w:r>
        <w:r>
          <w:instrText xml:space="preserve">PAGE   \* MERGEFORMAT</w:instrText>
        </w:r>
        <w:r>
          <w:fldChar w:fldCharType="separate"/>
        </w:r>
        <w:r>
          <w:rPr>
            <w:lang w:val="zh-CN"/>
          </w:rPr>
          <w:t>13</w:t>
        </w:r>
        <w:r>
          <w:fldChar w:fldCharType="end"/>
        </w:r>
      </w:p>
    </w:sdtContent>
  </w:sdt>
  <w:p w14:paraId="102DCF8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3"/>
      <w:numFmt w:val="chineseCounting"/>
      <w:suff w:val="nothing"/>
      <w:lvlText w:val="%1、"/>
      <w:lvlJc w:val="left"/>
      <w:rPr>
        <w:rFonts w:hint="eastAsia"/>
      </w:rPr>
    </w:lvl>
  </w:abstractNum>
  <w:abstractNum w:abstractNumId="2">
    <w:nsid w:val="0053208E"/>
    <w:multiLevelType w:val="singleLevel"/>
    <w:tmpl w:val="0053208E"/>
    <w:lvl w:ilvl="0" w:tentative="0">
      <w:start w:val="3"/>
      <w:numFmt w:val="chineseCounting"/>
      <w:suff w:val="nothing"/>
      <w:lvlText w:val="（%1）"/>
      <w:lvlJc w:val="left"/>
      <w:rPr>
        <w:rFonts w:hint="eastAsia"/>
      </w:rPr>
    </w:lvl>
  </w:abstractNum>
  <w:abstractNum w:abstractNumId="3">
    <w:nsid w:val="59ADCABA"/>
    <w:multiLevelType w:val="singleLevel"/>
    <w:tmpl w:val="59ADCABA"/>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4YzM5NzEwNzY0YWIzYWZjYzcxMWY5YWQ4MDBjZDIifQ=="/>
  </w:docVars>
  <w:rsids>
    <w:rsidRoot w:val="00000000"/>
    <w:rsid w:val="167764D1"/>
    <w:rsid w:val="3CF40B2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table of authorities"/>
    <w:basedOn w:val="1"/>
    <w:next w:val="1"/>
    <w:qFormat/>
    <w:uiPriority w:val="0"/>
    <w:pPr>
      <w:ind w:left="210" w:hanging="210"/>
    </w:pPr>
    <w:rPr>
      <w:sz w:val="20"/>
      <w:szCs w:val="20"/>
    </w:r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1"/>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2"/>
    <w:qFormat/>
    <w:uiPriority w:val="0"/>
    <w:pPr>
      <w:spacing w:after="0"/>
      <w:ind w:firstLine="200" w:firstLineChars="200"/>
    </w:pPr>
  </w:style>
  <w:style w:type="paragraph" w:styleId="11">
    <w:name w:val="Body Text First Indent 2"/>
    <w:basedOn w:val="5"/>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6"/>
    <w:qFormat/>
    <w:uiPriority w:val="0"/>
    <w:rPr>
      <w:rFonts w:ascii="Times New Roman" w:hAnsi="Times New Roman" w:eastAsia="宋体" w:cs="Times New Roman"/>
      <w:kern w:val="2"/>
      <w:sz w:val="18"/>
      <w:szCs w:val="18"/>
    </w:rPr>
  </w:style>
  <w:style w:type="character" w:customStyle="1" w:styleId="22">
    <w:name w:val="页眉 字符"/>
    <w:basedOn w:val="14"/>
    <w:link w:val="8"/>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35462C0B3FB543198819AAAFD75799DD_13</vt:lpwstr>
  </property>
  <property fmtid="{D5CDD505-2E9C-101B-9397-08002B2CF9AE}" pid="4" name="KSOTemplateDocerSaveRecord">
    <vt:lpwstr>eyJoZGlkIjoiZjFmZWIzNDg2MmIzZjExOTIzMmViNTBmYTMwYTk0ZWYiLCJ1c2VySWQiOiI2NzI2Mjg4ODYifQ==</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3a1bb-8a18-4da1-a372-cfac3274c468}">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15</Pages>
  <Words>138</Words>
  <Characters>151</Characters>
  <Lines>66</Lines>
  <Paragraphs>18</Paragraphs>
  <TotalTime>0</TotalTime>
  <ScaleCrop>false</ScaleCrop>
  <LinksUpToDate>false</LinksUpToDate>
  <CharactersWithSpaces>151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cp:lastPrinted>2025-06-27T13:21:00Z</cp:lastPrinted>
  <dcterms:modified xsi:type="dcterms:W3CDTF">2025-11-04T10:50:56Z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35462C0B3FB543198819AAAFD75799DD_13</vt:lpwstr>
  </property>
  <property fmtid="{D5CDD505-2E9C-101B-9397-08002B2CF9AE}" pid="4" name="KSOTemplateDocerSaveRecord">
    <vt:lpwstr>eyJoZGlkIjoiYjM4NWYyMWE2NWU1OGNiMmIxMmZkYzA5MWEwNzJlZmIiLCJ1c2VySWQiOiI0MzE2NzY3NzkifQ==</vt:lpwstr>
  </property>
</Properties>
</file>